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3536" w14:textId="77777777" w:rsidR="00F80402" w:rsidRPr="006F6185" w:rsidRDefault="00E049D2" w:rsidP="00E049D2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6F6185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6F6185" w:rsidRPr="006F6185">
        <w:rPr>
          <w:rFonts w:ascii="HG丸ｺﾞｼｯｸM-PRO" w:eastAsia="HG丸ｺﾞｼｯｸM-PRO" w:hAnsi="HG丸ｺﾞｼｯｸM-PRO" w:hint="eastAsia"/>
          <w:b/>
          <w:sz w:val="28"/>
          <w:szCs w:val="28"/>
        </w:rPr>
        <w:t>川内村まち・ひと・しごと創生総合戦略の延長について</w:t>
      </w:r>
      <w:r w:rsidRPr="006F6185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p w14:paraId="62AB32D4" w14:textId="77777777" w:rsidR="00E83DAC" w:rsidRDefault="00E83DAC" w:rsidP="006F6185">
      <w:pPr>
        <w:rPr>
          <w:sz w:val="22"/>
        </w:rPr>
      </w:pPr>
    </w:p>
    <w:p w14:paraId="5CC9E387" w14:textId="77777777" w:rsidR="006F6185" w:rsidRDefault="006F6185" w:rsidP="006F618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令和2年3月</w:t>
      </w:r>
    </w:p>
    <w:p w14:paraId="482A9D31" w14:textId="77777777" w:rsidR="006F6185" w:rsidRDefault="006F6185" w:rsidP="006F6185">
      <w:pPr>
        <w:jc w:val="right"/>
        <w:rPr>
          <w:rFonts w:asciiTheme="minorEastAsia" w:hAnsiTheme="minorEastAsia" w:hint="eastAsia"/>
          <w:sz w:val="22"/>
        </w:rPr>
      </w:pPr>
    </w:p>
    <w:p w14:paraId="25DD30E7" w14:textId="77777777" w:rsidR="006F6185" w:rsidRDefault="006F6185" w:rsidP="00BE4C98">
      <w:pPr>
        <w:rPr>
          <w:rFonts w:asciiTheme="minorEastAsia" w:hAnsiTheme="minorEastAsia"/>
          <w:kern w:val="0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1.</w:t>
      </w:r>
      <w:r w:rsidR="00B838E5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川内村まち・ひと・しごと創生総合戦略の延長についての方針</w:t>
      </w:r>
    </w:p>
    <w:p w14:paraId="31A9C810" w14:textId="77777777" w:rsidR="00362B7F" w:rsidRDefault="005A3893" w:rsidP="006F6185">
      <w:pPr>
        <w:rPr>
          <w:rFonts w:asciiTheme="minorEastAsia" w:hAnsiTheme="minorEastAsia"/>
        </w:rPr>
      </w:pPr>
      <w:r w:rsidRPr="006F6185">
        <w:rPr>
          <w:rFonts w:asciiTheme="minorEastAsia" w:hAnsiTheme="minorEastAsia" w:hint="eastAsia"/>
          <w:sz w:val="24"/>
          <w:szCs w:val="24"/>
        </w:rPr>
        <w:t xml:space="preserve">　</w:t>
      </w:r>
      <w:r w:rsidR="006F6185">
        <w:rPr>
          <w:rFonts w:asciiTheme="minorEastAsia" w:hAnsiTheme="minorEastAsia" w:hint="eastAsia"/>
        </w:rPr>
        <w:t>川内村まち・ひと・しごと創生総合戦略の計画期間は201</w:t>
      </w:r>
      <w:r w:rsidR="00362B7F">
        <w:rPr>
          <w:rFonts w:asciiTheme="minorEastAsia" w:hAnsiTheme="minorEastAsia" w:hint="eastAsia"/>
        </w:rPr>
        <w:t>5年度から2019年度の5年間となっているが、以下の理由から、2020年度から2022年度の3年間について時点修正により延長し、平成35年度にスタートする第6次川内村総合計画へ統合・一本化する。</w:t>
      </w:r>
    </w:p>
    <w:p w14:paraId="596CE5DA" w14:textId="77777777" w:rsidR="00362B7F" w:rsidRDefault="00362B7F" w:rsidP="006F61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◎村民へ村政について、わかりやすい説明が可能となる。</w:t>
      </w:r>
    </w:p>
    <w:p w14:paraId="41BAC672" w14:textId="77777777" w:rsidR="00362B7F" w:rsidRDefault="00362B7F" w:rsidP="006F61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◎内閣府より、総合計画等と総合戦略を一本化することは可能であると</w:t>
      </w:r>
      <w:r w:rsidR="00A109BE">
        <w:rPr>
          <w:rFonts w:asciiTheme="minorEastAsia" w:hAnsiTheme="minorEastAsia" w:hint="eastAsia"/>
        </w:rPr>
        <w:t>示されている。</w:t>
      </w:r>
    </w:p>
    <w:p w14:paraId="355BCC9F" w14:textId="77777777" w:rsidR="00A109BE" w:rsidRDefault="00A109BE" w:rsidP="006F61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◎進行管理を一本化し、事務の効率化を図る。</w:t>
      </w:r>
    </w:p>
    <w:p w14:paraId="1DC5B4FF" w14:textId="77777777" w:rsidR="009A1E00" w:rsidRPr="00B838E5" w:rsidRDefault="009A1E00" w:rsidP="006F6185">
      <w:pPr>
        <w:rPr>
          <w:rFonts w:asciiTheme="minorEastAsia" w:hAnsiTheme="minorEastAsia"/>
          <w:b/>
          <w:sz w:val="20"/>
          <w:szCs w:val="20"/>
        </w:rPr>
      </w:pPr>
      <w:r w:rsidRPr="00B838E5">
        <w:rPr>
          <w:rFonts w:asciiTheme="minorEastAsia" w:hAnsiTheme="minorEastAsia" w:hint="eastAsia"/>
          <w:b/>
          <w:sz w:val="20"/>
          <w:szCs w:val="20"/>
        </w:rPr>
        <w:t>＜参考：地方版総合戦略策定のための手引き（平成27年1月内閣府地方創生推進室）＞</w:t>
      </w:r>
    </w:p>
    <w:p w14:paraId="44BD6E2F" w14:textId="77777777" w:rsidR="009A1E00" w:rsidRDefault="009A1E00" w:rsidP="009A1E00">
      <w:pPr>
        <w:rPr>
          <w:rFonts w:asciiTheme="minorEastAsia" w:hAnsiTheme="minorEastAsia"/>
        </w:rPr>
      </w:pPr>
      <w:r w:rsidRPr="006F618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51C0D" wp14:editId="37F2156A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514975" cy="1428750"/>
                <wp:effectExtent l="0" t="0" r="28575" b="19050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2875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D6E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0;margin-top:4.05pt;width:434.25pt;height:112.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" adj="18000" fillcolor="white [3201]" strokecolor="#4f81bd [3204]" strokeweight="2pt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</w:t>
      </w:r>
    </w:p>
    <w:p w14:paraId="3238C8DB" w14:textId="77777777" w:rsidR="009A1E00" w:rsidRPr="009A1E00" w:rsidRDefault="009A1E00" w:rsidP="009A1E00">
      <w:pPr>
        <w:ind w:firstLineChars="100" w:firstLine="200"/>
        <w:rPr>
          <w:rFonts w:asciiTheme="minorEastAsia" w:hAnsiTheme="minorEastAsia"/>
          <w:sz w:val="20"/>
          <w:szCs w:val="20"/>
          <w:u w:val="single"/>
        </w:rPr>
      </w:pPr>
      <w:r w:rsidRPr="009A1E00">
        <w:rPr>
          <w:rFonts w:asciiTheme="minorEastAsia" w:hAnsiTheme="minorEastAsia" w:hint="eastAsia"/>
          <w:sz w:val="20"/>
          <w:szCs w:val="20"/>
          <w:u w:val="single"/>
        </w:rPr>
        <w:t>6-1　総合計画等と地方版総合戦略との関係</w:t>
      </w:r>
    </w:p>
    <w:p w14:paraId="477E53D9" w14:textId="77777777" w:rsidR="00B838E5" w:rsidRDefault="009A1E00" w:rsidP="00B838E5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総合計画等</w:t>
      </w:r>
      <w:r w:rsidR="00B838E5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見直す際に、見直し後の総合計画等において、</w:t>
      </w:r>
      <w:r w:rsidR="00B838E5">
        <w:rPr>
          <w:rFonts w:asciiTheme="minorEastAsia" w:hAnsiTheme="minorEastAsia" w:hint="eastAsia"/>
          <w:sz w:val="20"/>
          <w:szCs w:val="20"/>
        </w:rPr>
        <w:t>人口減少克服・地方創生という</w:t>
      </w:r>
    </w:p>
    <w:p w14:paraId="546380F3" w14:textId="77777777" w:rsidR="00B838E5" w:rsidRDefault="00B838E5" w:rsidP="00B838E5">
      <w:pPr>
        <w:ind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目的が明確であり、数値目標や重要業績評価指標（KPI）が設定されるなど、地方版総合戦略</w:t>
      </w:r>
    </w:p>
    <w:p w14:paraId="0856D14F" w14:textId="77777777" w:rsidR="00B838E5" w:rsidRDefault="00B838E5" w:rsidP="00B838E5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としての内容を備えているような場合には、総合計画等と総合戦略を一つのものとして策定</w:t>
      </w:r>
    </w:p>
    <w:p w14:paraId="05A86DD0" w14:textId="77777777" w:rsidR="00B838E5" w:rsidRDefault="00B838E5" w:rsidP="00B838E5">
      <w:pPr>
        <w:ind w:firstLineChars="100" w:firstLine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することは可能であると考えられます。</w:t>
      </w:r>
    </w:p>
    <w:p w14:paraId="29897B30" w14:textId="77777777" w:rsidR="009A1E00" w:rsidRDefault="009A1E00" w:rsidP="00B838E5">
      <w:pPr>
        <w:rPr>
          <w:rFonts w:asciiTheme="minorEastAsia" w:hAnsiTheme="minorEastAsia"/>
          <w:kern w:val="0"/>
          <w:sz w:val="24"/>
          <w:szCs w:val="24"/>
          <w:bdr w:val="single" w:sz="4" w:space="0" w:color="auto"/>
        </w:rPr>
      </w:pPr>
    </w:p>
    <w:p w14:paraId="1A47A3E0" w14:textId="77777777" w:rsidR="00B838E5" w:rsidRDefault="00B838E5" w:rsidP="00B838E5">
      <w:pPr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</w:pPr>
    </w:p>
    <w:p w14:paraId="49668E22" w14:textId="77777777" w:rsidR="00B1507B" w:rsidRPr="00B838E5" w:rsidRDefault="00BD7A72" w:rsidP="00B838E5">
      <w:pPr>
        <w:rPr>
          <w:rFonts w:asciiTheme="minorEastAsia" w:hAnsiTheme="minorEastAsia"/>
          <w:kern w:val="0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2</w:t>
      </w:r>
      <w:r w:rsidR="00B838E5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 xml:space="preserve">.　</w:t>
      </w:r>
      <w:r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延長する3年間の数値目標・KPIの設定</w:t>
      </w:r>
      <w:r w:rsidR="00B838E5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について</w:t>
      </w:r>
      <w:r w:rsidR="005A3893" w:rsidRPr="006F6185">
        <w:rPr>
          <w:rFonts w:asciiTheme="minorEastAsia" w:hAnsiTheme="minorEastAsia" w:hint="eastAsia"/>
        </w:rPr>
        <w:t xml:space="preserve">　</w:t>
      </w:r>
    </w:p>
    <w:p w14:paraId="7E678C4F" w14:textId="77777777" w:rsidR="00BD0DCC" w:rsidRDefault="00BD7A72" w:rsidP="00B838E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すでに総合計画の目標指標へ勘案されている数値目標・KPIについては、目標値の整合を図る。それ以外の数値目標・KPIについては、基本的には方向性を引き継ぎ3年間の目標値を設定することを前提とするが、効果を踏まえ必要に応じて改訂を行う。</w:t>
      </w:r>
    </w:p>
    <w:p w14:paraId="657EAA5C" w14:textId="77777777" w:rsidR="00EF555D" w:rsidRPr="006F6185" w:rsidRDefault="00EF555D">
      <w:pPr>
        <w:rPr>
          <w:rFonts w:asciiTheme="minorEastAsia" w:hAnsiTheme="minorEastAsia" w:hint="eastAsia"/>
          <w:sz w:val="22"/>
        </w:rPr>
      </w:pPr>
    </w:p>
    <w:p w14:paraId="475A6868" w14:textId="77777777" w:rsidR="00BF1845" w:rsidRPr="006F6185" w:rsidRDefault="00742134">
      <w:pPr>
        <w:rPr>
          <w:rFonts w:asciiTheme="minorEastAsia" w:hAnsiTheme="minorEastAsia"/>
          <w:kern w:val="0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3</w:t>
      </w:r>
      <w:r w:rsidR="00BD7A72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 xml:space="preserve">.　</w:t>
      </w:r>
      <w:r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周知方法</w:t>
      </w:r>
    </w:p>
    <w:p w14:paraId="72644794" w14:textId="77777777" w:rsidR="00B05681" w:rsidRDefault="00742134" w:rsidP="0074213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川内村ホームページにより周知する。</w:t>
      </w:r>
    </w:p>
    <w:p w14:paraId="0C1AE4E4" w14:textId="77777777" w:rsidR="008C45D9" w:rsidRPr="006F6185" w:rsidRDefault="008C45D9" w:rsidP="00742134">
      <w:pPr>
        <w:rPr>
          <w:rFonts w:asciiTheme="minorEastAsia" w:hAnsiTheme="minorEastAsia" w:hint="eastAsia"/>
          <w:sz w:val="22"/>
        </w:rPr>
      </w:pPr>
    </w:p>
    <w:p w14:paraId="7ECBB67F" w14:textId="77777777" w:rsidR="008C45D9" w:rsidRDefault="00742134" w:rsidP="00C93AB8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（参考）総合戦略と総合計画の期間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46"/>
      </w:tblGrid>
      <w:tr w:rsidR="008C45D9" w14:paraId="447ED9B7" w14:textId="77777777" w:rsidTr="007D7D17">
        <w:trPr>
          <w:trHeight w:val="1296"/>
        </w:trPr>
        <w:tc>
          <w:tcPr>
            <w:tcW w:w="4248" w:type="dxa"/>
            <w:gridSpan w:val="2"/>
            <w:tcBorders>
              <w:right w:val="dashDotStroked" w:sz="24" w:space="0" w:color="FF0000"/>
            </w:tcBorders>
            <w:vAlign w:val="center"/>
          </w:tcPr>
          <w:p w14:paraId="682524C3" w14:textId="77777777" w:rsidR="008C45D9" w:rsidRPr="0058233B" w:rsidRDefault="008C45D9" w:rsidP="0058233B">
            <w:pPr>
              <w:jc w:val="center"/>
              <w:rPr>
                <w:sz w:val="24"/>
                <w:szCs w:val="24"/>
              </w:rPr>
            </w:pPr>
            <w:r w:rsidRPr="0058233B">
              <w:rPr>
                <w:rFonts w:hint="eastAsia"/>
                <w:sz w:val="24"/>
                <w:szCs w:val="24"/>
              </w:rPr>
              <w:t>川内村第</w:t>
            </w:r>
            <w:r w:rsidRPr="0058233B">
              <w:rPr>
                <w:rFonts w:hint="eastAsia"/>
                <w:sz w:val="24"/>
                <w:szCs w:val="24"/>
              </w:rPr>
              <w:t>5</w:t>
            </w:r>
            <w:r w:rsidRPr="0058233B">
              <w:rPr>
                <w:rFonts w:hint="eastAsia"/>
                <w:sz w:val="24"/>
                <w:szCs w:val="24"/>
              </w:rPr>
              <w:t>次総合計画</w:t>
            </w:r>
          </w:p>
          <w:p w14:paraId="74004C24" w14:textId="77777777" w:rsidR="0058233B" w:rsidRPr="007D7D17" w:rsidRDefault="0058233B" w:rsidP="0058233B">
            <w:pPr>
              <w:jc w:val="center"/>
              <w:rPr>
                <w:rFonts w:hint="eastAsia"/>
                <w:sz w:val="24"/>
                <w:szCs w:val="24"/>
              </w:rPr>
            </w:pPr>
            <w:r w:rsidRPr="007D7D17">
              <w:rPr>
                <w:rFonts w:hint="eastAsia"/>
                <w:sz w:val="24"/>
                <w:szCs w:val="24"/>
              </w:rPr>
              <w:t>201</w:t>
            </w:r>
            <w:r w:rsidRPr="007D7D17">
              <w:rPr>
                <w:rFonts w:hint="eastAsia"/>
                <w:sz w:val="24"/>
                <w:szCs w:val="24"/>
              </w:rPr>
              <w:t>8</w:t>
            </w:r>
            <w:r w:rsidRPr="007D7D17">
              <w:rPr>
                <w:rFonts w:hint="eastAsia"/>
                <w:sz w:val="24"/>
                <w:szCs w:val="24"/>
              </w:rPr>
              <w:t>年度～</w:t>
            </w:r>
            <w:r w:rsidRPr="007D7D17">
              <w:rPr>
                <w:rFonts w:hint="eastAsia"/>
                <w:sz w:val="24"/>
                <w:szCs w:val="24"/>
              </w:rPr>
              <w:t>20</w:t>
            </w:r>
            <w:r w:rsidRPr="007D7D17">
              <w:rPr>
                <w:rFonts w:hint="eastAsia"/>
                <w:sz w:val="24"/>
                <w:szCs w:val="24"/>
              </w:rPr>
              <w:t>22</w:t>
            </w:r>
            <w:r w:rsidRPr="007D7D17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246" w:type="dxa"/>
            <w:tcBorders>
              <w:left w:val="dashDotStroked" w:sz="24" w:space="0" w:color="FF0000"/>
            </w:tcBorders>
            <w:vAlign w:val="center"/>
          </w:tcPr>
          <w:p w14:paraId="4A75F238" w14:textId="77777777" w:rsidR="0058233B" w:rsidRDefault="0058233B" w:rsidP="0058233B">
            <w:pPr>
              <w:rPr>
                <w:sz w:val="24"/>
                <w:szCs w:val="24"/>
              </w:rPr>
            </w:pPr>
          </w:p>
          <w:p w14:paraId="29DA32F9" w14:textId="77777777" w:rsidR="0058233B" w:rsidRPr="0058233B" w:rsidRDefault="0058233B" w:rsidP="0058233B">
            <w:pPr>
              <w:jc w:val="center"/>
              <w:rPr>
                <w:sz w:val="24"/>
                <w:szCs w:val="24"/>
              </w:rPr>
            </w:pPr>
            <w:r w:rsidRPr="0058233B">
              <w:rPr>
                <w:rFonts w:hint="eastAsia"/>
                <w:sz w:val="24"/>
                <w:szCs w:val="24"/>
              </w:rPr>
              <w:t>川内村第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58233B">
              <w:rPr>
                <w:rFonts w:hint="eastAsia"/>
                <w:sz w:val="24"/>
                <w:szCs w:val="24"/>
              </w:rPr>
              <w:t>次総合計画</w:t>
            </w:r>
          </w:p>
          <w:p w14:paraId="32E25220" w14:textId="77777777" w:rsidR="008C45D9" w:rsidRPr="007D7D17" w:rsidRDefault="0058233B" w:rsidP="007D7D17">
            <w:pPr>
              <w:jc w:val="center"/>
              <w:rPr>
                <w:sz w:val="24"/>
                <w:szCs w:val="24"/>
              </w:rPr>
            </w:pPr>
            <w:r w:rsidRPr="007D7D17">
              <w:rPr>
                <w:rFonts w:hint="eastAsia"/>
                <w:sz w:val="24"/>
                <w:szCs w:val="24"/>
              </w:rPr>
              <w:t>20</w:t>
            </w:r>
            <w:r w:rsidR="007D7D17" w:rsidRPr="007D7D17">
              <w:rPr>
                <w:rFonts w:hint="eastAsia"/>
                <w:sz w:val="24"/>
                <w:szCs w:val="24"/>
              </w:rPr>
              <w:t>23</w:t>
            </w:r>
            <w:r w:rsidRPr="007D7D17">
              <w:rPr>
                <w:rFonts w:hint="eastAsia"/>
                <w:sz w:val="24"/>
                <w:szCs w:val="24"/>
              </w:rPr>
              <w:t>年度～</w:t>
            </w:r>
          </w:p>
          <w:p w14:paraId="2F755D08" w14:textId="77777777" w:rsidR="0058233B" w:rsidRPr="008C45D9" w:rsidRDefault="0058233B" w:rsidP="0058233B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7D17" w:rsidRPr="008C45D9" w14:paraId="75974E5A" w14:textId="77777777" w:rsidTr="007D7D17">
        <w:trPr>
          <w:trHeight w:val="1370"/>
        </w:trPr>
        <w:tc>
          <w:tcPr>
            <w:tcW w:w="2830" w:type="dxa"/>
            <w:tcBorders>
              <w:right w:val="double" w:sz="4" w:space="0" w:color="FF0000"/>
            </w:tcBorders>
            <w:vAlign w:val="center"/>
          </w:tcPr>
          <w:p w14:paraId="32A2D580" w14:textId="77777777" w:rsidR="007D7D17" w:rsidRDefault="007D7D17" w:rsidP="008C45D9">
            <w:pPr>
              <w:rPr>
                <w:rFonts w:asciiTheme="minorEastAsia" w:hAnsiTheme="minorEastAsia"/>
                <w:sz w:val="20"/>
                <w:szCs w:val="20"/>
              </w:rPr>
            </w:pPr>
            <w:r w:rsidRPr="0058233B">
              <w:rPr>
                <w:rFonts w:asciiTheme="minorEastAsia" w:hAnsiTheme="minorEastAsia" w:hint="eastAsia"/>
                <w:sz w:val="20"/>
                <w:szCs w:val="20"/>
              </w:rPr>
              <w:t>川内村まち・ひと・しごと</w:t>
            </w:r>
          </w:p>
          <w:p w14:paraId="2BE55290" w14:textId="77777777" w:rsidR="007D7D17" w:rsidRPr="0058233B" w:rsidRDefault="007D7D17" w:rsidP="008C45D9">
            <w:pPr>
              <w:rPr>
                <w:rFonts w:asciiTheme="minorEastAsia" w:hAnsiTheme="minorEastAsia"/>
                <w:sz w:val="20"/>
                <w:szCs w:val="20"/>
              </w:rPr>
            </w:pPr>
            <w:r w:rsidRPr="0058233B">
              <w:rPr>
                <w:rFonts w:asciiTheme="minorEastAsia" w:hAnsiTheme="minorEastAsia" w:hint="eastAsia"/>
                <w:sz w:val="20"/>
                <w:szCs w:val="20"/>
              </w:rPr>
              <w:t>創生総合戦略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  <w:p w14:paraId="179D2798" w14:textId="77777777" w:rsidR="007D7D17" w:rsidRPr="007D7D17" w:rsidRDefault="007D7D17" w:rsidP="0058233B">
            <w:pPr>
              <w:jc w:val="center"/>
              <w:rPr>
                <w:rFonts w:hint="eastAsia"/>
                <w:sz w:val="24"/>
                <w:szCs w:val="24"/>
              </w:rPr>
            </w:pPr>
            <w:r w:rsidRPr="007D7D17">
              <w:rPr>
                <w:rFonts w:hint="eastAsia"/>
                <w:sz w:val="24"/>
                <w:szCs w:val="24"/>
              </w:rPr>
              <w:t>2015</w:t>
            </w:r>
            <w:r w:rsidRPr="007D7D17">
              <w:rPr>
                <w:rFonts w:hint="eastAsia"/>
                <w:sz w:val="24"/>
                <w:szCs w:val="24"/>
              </w:rPr>
              <w:t>年度～</w:t>
            </w:r>
            <w:r w:rsidRPr="007D7D17">
              <w:rPr>
                <w:rFonts w:hint="eastAsia"/>
                <w:sz w:val="24"/>
                <w:szCs w:val="24"/>
              </w:rPr>
              <w:t>2019</w:t>
            </w:r>
            <w:r w:rsidRPr="007D7D17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18" w:type="dxa"/>
            <w:tcBorders>
              <w:top w:val="double" w:sz="4" w:space="0" w:color="FF0000"/>
              <w:left w:val="double" w:sz="4" w:space="0" w:color="FF0000"/>
              <w:right w:val="dashDotStroked" w:sz="24" w:space="0" w:color="FF0000"/>
            </w:tcBorders>
            <w:vAlign w:val="center"/>
          </w:tcPr>
          <w:p w14:paraId="0304BE6D" w14:textId="77777777" w:rsidR="007D7D17" w:rsidRDefault="007D7D17" w:rsidP="0058233B">
            <w:pPr>
              <w:jc w:val="center"/>
              <w:rPr>
                <w:sz w:val="24"/>
                <w:szCs w:val="24"/>
                <w:highlight w:val="yellow"/>
              </w:rPr>
            </w:pPr>
            <w:r w:rsidRPr="0058233B">
              <w:rPr>
                <w:rFonts w:hint="eastAsia"/>
                <w:sz w:val="24"/>
                <w:szCs w:val="24"/>
                <w:highlight w:val="yellow"/>
              </w:rPr>
              <w:t>期間延長</w:t>
            </w:r>
          </w:p>
          <w:p w14:paraId="680A04A8" w14:textId="77777777" w:rsidR="007D7D17" w:rsidRPr="007D7D17" w:rsidRDefault="007D7D17" w:rsidP="0058233B">
            <w:pPr>
              <w:jc w:val="left"/>
              <w:rPr>
                <w:szCs w:val="21"/>
              </w:rPr>
            </w:pPr>
            <w:r w:rsidRPr="007D7D17">
              <w:rPr>
                <w:rFonts w:hint="eastAsia"/>
                <w:szCs w:val="21"/>
              </w:rPr>
              <w:t>2020</w:t>
            </w:r>
            <w:r w:rsidRPr="007D7D17">
              <w:rPr>
                <w:rFonts w:hint="eastAsia"/>
                <w:szCs w:val="21"/>
              </w:rPr>
              <w:t>年度～</w:t>
            </w:r>
          </w:p>
          <w:p w14:paraId="63618F8D" w14:textId="77777777" w:rsidR="007D7D17" w:rsidRPr="007D7D17" w:rsidRDefault="007D7D17" w:rsidP="0058233B">
            <w:pPr>
              <w:jc w:val="left"/>
              <w:rPr>
                <w:rFonts w:hint="eastAsia"/>
                <w:szCs w:val="21"/>
              </w:rPr>
            </w:pPr>
            <w:r w:rsidRPr="007D7D17">
              <w:rPr>
                <w:rFonts w:hint="eastAsia"/>
                <w:szCs w:val="21"/>
              </w:rPr>
              <w:t>2022</w:t>
            </w:r>
            <w:r w:rsidRPr="007D7D17">
              <w:rPr>
                <w:rFonts w:hint="eastAsia"/>
                <w:szCs w:val="21"/>
              </w:rPr>
              <w:t>年度</w:t>
            </w:r>
          </w:p>
        </w:tc>
        <w:tc>
          <w:tcPr>
            <w:tcW w:w="4246" w:type="dxa"/>
            <w:tcBorders>
              <w:left w:val="dashDotStroked" w:sz="24" w:space="0" w:color="FF0000"/>
            </w:tcBorders>
            <w:vAlign w:val="center"/>
          </w:tcPr>
          <w:p w14:paraId="30CD01FE" w14:textId="77777777" w:rsidR="007D7D17" w:rsidRDefault="007D7D17" w:rsidP="007D7D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8233B">
              <w:rPr>
                <w:rFonts w:asciiTheme="minorEastAsia" w:hAnsiTheme="minorEastAsia" w:hint="eastAsia"/>
                <w:sz w:val="20"/>
                <w:szCs w:val="20"/>
              </w:rPr>
              <w:t>川内村まち・ひと・しごと創生総合戦略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  <w:p w14:paraId="43D24B15" w14:textId="77777777" w:rsidR="007D7D17" w:rsidRPr="007D7D17" w:rsidRDefault="007D7D17" w:rsidP="007D7D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D7D17">
              <w:rPr>
                <w:rFonts w:hint="eastAsia"/>
                <w:sz w:val="24"/>
                <w:szCs w:val="24"/>
              </w:rPr>
              <w:t>20</w:t>
            </w:r>
            <w:r w:rsidRPr="007D7D17">
              <w:rPr>
                <w:rFonts w:hint="eastAsia"/>
                <w:sz w:val="24"/>
                <w:szCs w:val="24"/>
              </w:rPr>
              <w:t>23</w:t>
            </w:r>
            <w:r w:rsidRPr="007D7D17">
              <w:rPr>
                <w:rFonts w:hint="eastAsia"/>
                <w:sz w:val="24"/>
                <w:szCs w:val="24"/>
              </w:rPr>
              <w:t>年度～</w:t>
            </w:r>
          </w:p>
        </w:tc>
      </w:tr>
    </w:tbl>
    <w:p w14:paraId="703787DE" w14:textId="23BFF04F" w:rsidR="00742134" w:rsidRPr="007D7D17" w:rsidRDefault="00742134" w:rsidP="00C93AB8">
      <w:pPr>
        <w:rPr>
          <w:rFonts w:hint="eastAsia"/>
        </w:rPr>
      </w:pPr>
    </w:p>
    <w:sectPr w:rsidR="00742134" w:rsidRPr="007D7D17" w:rsidSect="00EF555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60B67" w14:textId="77777777" w:rsidR="001D11AF" w:rsidRDefault="001D11AF" w:rsidP="00E11606">
      <w:r>
        <w:separator/>
      </w:r>
    </w:p>
  </w:endnote>
  <w:endnote w:type="continuationSeparator" w:id="0">
    <w:p w14:paraId="76BE4EA5" w14:textId="77777777" w:rsidR="001D11AF" w:rsidRDefault="001D11AF" w:rsidP="00E1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825F" w14:textId="77777777" w:rsidR="001D11AF" w:rsidRDefault="001D11AF" w:rsidP="00E11606">
      <w:r>
        <w:separator/>
      </w:r>
    </w:p>
  </w:footnote>
  <w:footnote w:type="continuationSeparator" w:id="0">
    <w:p w14:paraId="2DBAE70D" w14:textId="77777777" w:rsidR="001D11AF" w:rsidRDefault="001D11AF" w:rsidP="00E1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620"/>
    <w:multiLevelType w:val="hybridMultilevel"/>
    <w:tmpl w:val="455AFA90"/>
    <w:lvl w:ilvl="0" w:tplc="B198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A2ACF"/>
    <w:multiLevelType w:val="hybridMultilevel"/>
    <w:tmpl w:val="B23293BE"/>
    <w:lvl w:ilvl="0" w:tplc="7194B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A75E8"/>
    <w:multiLevelType w:val="hybridMultilevel"/>
    <w:tmpl w:val="CF848F2C"/>
    <w:lvl w:ilvl="0" w:tplc="CD7A6E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754E1A"/>
    <w:multiLevelType w:val="hybridMultilevel"/>
    <w:tmpl w:val="D8A85440"/>
    <w:lvl w:ilvl="0" w:tplc="852A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641313"/>
    <w:multiLevelType w:val="hybridMultilevel"/>
    <w:tmpl w:val="9926CAF8"/>
    <w:lvl w:ilvl="0" w:tplc="2B1C23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882A96"/>
    <w:multiLevelType w:val="hybridMultilevel"/>
    <w:tmpl w:val="43966592"/>
    <w:lvl w:ilvl="0" w:tplc="FED4C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358C2"/>
    <w:multiLevelType w:val="hybridMultilevel"/>
    <w:tmpl w:val="2B84BEC6"/>
    <w:lvl w:ilvl="0" w:tplc="3ACC2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833DB6"/>
    <w:multiLevelType w:val="hybridMultilevel"/>
    <w:tmpl w:val="A73A051C"/>
    <w:lvl w:ilvl="0" w:tplc="C8609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C977C6"/>
    <w:multiLevelType w:val="hybridMultilevel"/>
    <w:tmpl w:val="8F9E476C"/>
    <w:lvl w:ilvl="0" w:tplc="B0F42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2D15923"/>
    <w:multiLevelType w:val="hybridMultilevel"/>
    <w:tmpl w:val="B3C8A656"/>
    <w:lvl w:ilvl="0" w:tplc="DC86BC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54D543E1"/>
    <w:multiLevelType w:val="hybridMultilevel"/>
    <w:tmpl w:val="E0F23F74"/>
    <w:lvl w:ilvl="0" w:tplc="08C0E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E65204"/>
    <w:multiLevelType w:val="hybridMultilevel"/>
    <w:tmpl w:val="F4F280BC"/>
    <w:lvl w:ilvl="0" w:tplc="F54E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301058"/>
    <w:multiLevelType w:val="hybridMultilevel"/>
    <w:tmpl w:val="478C53EA"/>
    <w:lvl w:ilvl="0" w:tplc="86608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6747B"/>
    <w:multiLevelType w:val="hybridMultilevel"/>
    <w:tmpl w:val="8B56CB60"/>
    <w:lvl w:ilvl="0" w:tplc="AC501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A414C4"/>
    <w:multiLevelType w:val="hybridMultilevel"/>
    <w:tmpl w:val="DEC60AD4"/>
    <w:lvl w:ilvl="0" w:tplc="5A6AF91A">
      <w:start w:val="1"/>
      <w:numFmt w:val="decimalEnclosedCircle"/>
      <w:lvlText w:val="%1"/>
      <w:lvlJc w:val="left"/>
      <w:pPr>
        <w:ind w:left="3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15" w15:restartNumberingAfterBreak="0">
    <w:nsid w:val="66300E72"/>
    <w:multiLevelType w:val="hybridMultilevel"/>
    <w:tmpl w:val="48D81360"/>
    <w:lvl w:ilvl="0" w:tplc="09C655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C137195"/>
    <w:multiLevelType w:val="hybridMultilevel"/>
    <w:tmpl w:val="23442864"/>
    <w:lvl w:ilvl="0" w:tplc="6F98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446129"/>
    <w:multiLevelType w:val="hybridMultilevel"/>
    <w:tmpl w:val="F2428C9C"/>
    <w:lvl w:ilvl="0" w:tplc="9BD6E1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29155D"/>
    <w:multiLevelType w:val="hybridMultilevel"/>
    <w:tmpl w:val="2132BD12"/>
    <w:lvl w:ilvl="0" w:tplc="824E8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392991"/>
    <w:multiLevelType w:val="hybridMultilevel"/>
    <w:tmpl w:val="98824EA4"/>
    <w:lvl w:ilvl="0" w:tplc="F0E62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8"/>
  </w:num>
  <w:num w:numId="5">
    <w:abstractNumId w:val="6"/>
  </w:num>
  <w:num w:numId="6">
    <w:abstractNumId w:val="17"/>
  </w:num>
  <w:num w:numId="7">
    <w:abstractNumId w:val="16"/>
  </w:num>
  <w:num w:numId="8">
    <w:abstractNumId w:val="11"/>
  </w:num>
  <w:num w:numId="9">
    <w:abstractNumId w:val="19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07"/>
    <w:rsid w:val="00014A4B"/>
    <w:rsid w:val="0009784A"/>
    <w:rsid w:val="000C4556"/>
    <w:rsid w:val="00164EDF"/>
    <w:rsid w:val="001D11AF"/>
    <w:rsid w:val="00235A68"/>
    <w:rsid w:val="0024646C"/>
    <w:rsid w:val="0025146F"/>
    <w:rsid w:val="00257F38"/>
    <w:rsid w:val="002B2907"/>
    <w:rsid w:val="002C0AC8"/>
    <w:rsid w:val="002C74A7"/>
    <w:rsid w:val="00332237"/>
    <w:rsid w:val="0035779B"/>
    <w:rsid w:val="00362B7F"/>
    <w:rsid w:val="003A0D53"/>
    <w:rsid w:val="003B25FE"/>
    <w:rsid w:val="003B5256"/>
    <w:rsid w:val="003D1779"/>
    <w:rsid w:val="00404261"/>
    <w:rsid w:val="00413E6D"/>
    <w:rsid w:val="00511DA2"/>
    <w:rsid w:val="00551DC4"/>
    <w:rsid w:val="00560766"/>
    <w:rsid w:val="0058233B"/>
    <w:rsid w:val="005A3893"/>
    <w:rsid w:val="005E619C"/>
    <w:rsid w:val="005F762A"/>
    <w:rsid w:val="0064751F"/>
    <w:rsid w:val="00667A74"/>
    <w:rsid w:val="00685062"/>
    <w:rsid w:val="006F6185"/>
    <w:rsid w:val="006F7D72"/>
    <w:rsid w:val="00705C6E"/>
    <w:rsid w:val="007148CB"/>
    <w:rsid w:val="00715221"/>
    <w:rsid w:val="00742134"/>
    <w:rsid w:val="00763A12"/>
    <w:rsid w:val="007714F1"/>
    <w:rsid w:val="007B4E7E"/>
    <w:rsid w:val="007C4B17"/>
    <w:rsid w:val="007D7D17"/>
    <w:rsid w:val="00820B60"/>
    <w:rsid w:val="00833D50"/>
    <w:rsid w:val="008C45D9"/>
    <w:rsid w:val="008E30B2"/>
    <w:rsid w:val="008E3D0F"/>
    <w:rsid w:val="0092010A"/>
    <w:rsid w:val="009A1E00"/>
    <w:rsid w:val="009C7ABB"/>
    <w:rsid w:val="00A017C2"/>
    <w:rsid w:val="00A109BE"/>
    <w:rsid w:val="00A24F12"/>
    <w:rsid w:val="00A52ED2"/>
    <w:rsid w:val="00A62D99"/>
    <w:rsid w:val="00A814FA"/>
    <w:rsid w:val="00B05681"/>
    <w:rsid w:val="00B1507B"/>
    <w:rsid w:val="00B37DA4"/>
    <w:rsid w:val="00B838E5"/>
    <w:rsid w:val="00BD0DCC"/>
    <w:rsid w:val="00BD7A72"/>
    <w:rsid w:val="00BE4C98"/>
    <w:rsid w:val="00BF1845"/>
    <w:rsid w:val="00C16C09"/>
    <w:rsid w:val="00C700E3"/>
    <w:rsid w:val="00C73D27"/>
    <w:rsid w:val="00C74CD6"/>
    <w:rsid w:val="00C93AB8"/>
    <w:rsid w:val="00CA2124"/>
    <w:rsid w:val="00CB4247"/>
    <w:rsid w:val="00CD32CD"/>
    <w:rsid w:val="00CD764A"/>
    <w:rsid w:val="00D2620E"/>
    <w:rsid w:val="00D36F3D"/>
    <w:rsid w:val="00D43754"/>
    <w:rsid w:val="00D9734E"/>
    <w:rsid w:val="00E049D2"/>
    <w:rsid w:val="00E11606"/>
    <w:rsid w:val="00E83DAC"/>
    <w:rsid w:val="00EF3C96"/>
    <w:rsid w:val="00EF555D"/>
    <w:rsid w:val="00F10A48"/>
    <w:rsid w:val="00F27C7B"/>
    <w:rsid w:val="00F80402"/>
    <w:rsid w:val="00FB6526"/>
    <w:rsid w:val="00FE5FD0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4BD7C"/>
  <w15:docId w15:val="{D788256E-EB10-459D-B7A0-653261C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606"/>
  </w:style>
  <w:style w:type="paragraph" w:styleId="a5">
    <w:name w:val="footer"/>
    <w:basedOn w:val="a"/>
    <w:link w:val="a6"/>
    <w:uiPriority w:val="99"/>
    <w:unhideWhenUsed/>
    <w:rsid w:val="00E11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606"/>
  </w:style>
  <w:style w:type="paragraph" w:styleId="a7">
    <w:name w:val="Balloon Text"/>
    <w:basedOn w:val="a"/>
    <w:link w:val="a8"/>
    <w:uiPriority w:val="99"/>
    <w:semiHidden/>
    <w:unhideWhenUsed/>
    <w:rsid w:val="00E11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6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B6526"/>
    <w:pPr>
      <w:ind w:leftChars="400" w:left="840"/>
    </w:pPr>
  </w:style>
  <w:style w:type="character" w:styleId="aa">
    <w:name w:val="Hyperlink"/>
    <w:basedOn w:val="a0"/>
    <w:uiPriority w:val="99"/>
    <w:unhideWhenUsed/>
    <w:rsid w:val="00C73D2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823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823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823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823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8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0E15-04FC-4538-8D1C-58FC5883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藤宮 健二</cp:lastModifiedBy>
  <cp:revision>5</cp:revision>
  <cp:lastPrinted>2016-01-22T00:40:00Z</cp:lastPrinted>
  <dcterms:created xsi:type="dcterms:W3CDTF">2020-04-09T07:41:00Z</dcterms:created>
  <dcterms:modified xsi:type="dcterms:W3CDTF">2020-04-09T08:11:00Z</dcterms:modified>
</cp:coreProperties>
</file>